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0C1E" w14:textId="77777777" w:rsidR="007F6113" w:rsidRDefault="007F6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9D9829B" w14:textId="7EF9ABB2" w:rsidR="007F6113" w:rsidRDefault="007F6113">
      <w:pPr>
        <w:spacing w:after="40"/>
        <w:ind w:left="-720" w:right="-720"/>
        <w:jc w:val="center"/>
        <w:rPr>
          <w:rFonts w:ascii="Arial" w:eastAsia="Arial" w:hAnsi="Arial" w:cs="Arial"/>
          <w:sz w:val="21"/>
          <w:szCs w:val="21"/>
        </w:rPr>
      </w:pPr>
    </w:p>
    <w:p w14:paraId="7CDC8007" w14:textId="77777777" w:rsidR="007F6113" w:rsidRDefault="001A2B7A">
      <w:pPr>
        <w:spacing w:after="40"/>
        <w:ind w:left="-720" w:right="-7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inline distT="114300" distB="114300" distL="114300" distR="114300" wp14:anchorId="7D58FE0E" wp14:editId="5A176030">
            <wp:extent cx="4157663" cy="14794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663" cy="1479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288BC6" w14:textId="77777777" w:rsidR="007F6113" w:rsidRDefault="001A2B7A" w:rsidP="00140DDE">
      <w:pPr>
        <w:spacing w:before="60" w:after="40"/>
        <w:ind w:left="-720" w:right="-720"/>
        <w:rPr>
          <w:rFonts w:ascii="Times New Roman" w:eastAsia="Times New Roman" w:hAnsi="Times New Roman" w:cs="Times New Roman"/>
        </w:rPr>
        <w:sectPr w:rsidR="007F6113">
          <w:footerReference w:type="default" r:id="rId8"/>
          <w:pgSz w:w="12240" w:h="15840"/>
          <w:pgMar w:top="0" w:right="1440" w:bottom="1440" w:left="1440" w:header="720" w:footer="720" w:gutter="0"/>
          <w:pgNumType w:start="0"/>
          <w:cols w:space="720"/>
        </w:sect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The </w:t>
      </w:r>
      <w:r>
        <w:rPr>
          <w:rFonts w:ascii="Arial" w:eastAsia="Arial" w:hAnsi="Arial" w:cs="Arial"/>
          <w:smallCaps/>
          <w:color w:val="000000"/>
          <w:sz w:val="21"/>
          <w:szCs w:val="21"/>
        </w:rPr>
        <w:t>Designated Pilot Examiners Model Code of Conduct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offers recommendations to advance safety and professionalism in the conduct of practical tests. The Code presents a vision of excellence for DPEs. Its principles complement and underscore legal requirements. It is intended to assist in evaluating the core principles that help aviators build a foundation of flight safety, proficiency, and wisdom.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br/>
      </w:r>
    </w:p>
    <w:p w14:paraId="588705D1" w14:textId="77777777" w:rsidR="007F6113" w:rsidRDefault="001A2B7A">
      <w:pPr>
        <w:spacing w:after="80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 xml:space="preserve">I. General Responsibilities of </w:t>
      </w: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br/>
        <w:t>Designated Pilot Examiners</w:t>
      </w:r>
    </w:p>
    <w:p w14:paraId="4EF7096D" w14:textId="77777777" w:rsidR="007F6113" w:rsidRDefault="001A2B7A">
      <w:pPr>
        <w:spacing w:after="80"/>
        <w:ind w:left="360" w:hanging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should:</w:t>
      </w:r>
    </w:p>
    <w:p w14:paraId="76318704" w14:textId="77777777" w:rsidR="007F6113" w:rsidRDefault="001A2B7A">
      <w:pPr>
        <w:numPr>
          <w:ilvl w:val="0"/>
          <w:numId w:val="9"/>
        </w:numPr>
        <w:spacing w:after="60"/>
        <w:ind w:left="63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make safety a top priority,</w:t>
      </w:r>
    </w:p>
    <w:p w14:paraId="65159E49" w14:textId="77777777" w:rsidR="007F6113" w:rsidRDefault="001A2B7A">
      <w:pPr>
        <w:spacing w:after="60"/>
        <w:ind w:left="63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b.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apply and conform to applicable Airman Certification Standards (ACS) or Practical Test Standards (PTS), as appropriate, and guidance documents, and</w:t>
      </w:r>
    </w:p>
    <w:p w14:paraId="09663DD9" w14:textId="77777777" w:rsidR="007F6113" w:rsidRDefault="001A2B7A">
      <w:pPr>
        <w:spacing w:after="60"/>
        <w:ind w:left="63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c.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aspire to professionalism, and represent </w:t>
      </w:r>
      <w:r>
        <w:rPr>
          <w:rFonts w:ascii="Arial" w:eastAsia="Arial" w:hAnsi="Arial" w:cs="Arial"/>
          <w:b/>
          <w:sz w:val="18"/>
          <w:szCs w:val="18"/>
        </w:rPr>
        <w:t>the FAA Administrator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in a professional manner including conduct, language, appearance, and hygiene. </w:t>
      </w:r>
    </w:p>
    <w:p w14:paraId="325F73D1" w14:textId="77777777" w:rsidR="007F6113" w:rsidRDefault="007F6113">
      <w:pPr>
        <w:spacing w:after="80"/>
        <w:ind w:left="630" w:hanging="270"/>
        <w:rPr>
          <w:rFonts w:ascii="Arial" w:eastAsia="Arial" w:hAnsi="Arial" w:cs="Arial"/>
          <w:b/>
          <w:sz w:val="12"/>
          <w:szCs w:val="12"/>
        </w:rPr>
      </w:pPr>
    </w:p>
    <w:p w14:paraId="12EAE56E" w14:textId="77777777" w:rsidR="007F6113" w:rsidRDefault="001A2B7A">
      <w:pP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>II. Flight Test Safety</w:t>
      </w:r>
    </w:p>
    <w:p w14:paraId="587071E5" w14:textId="77777777" w:rsidR="007F6113" w:rsidRDefault="001A2B7A">
      <w:pPr>
        <w:spacing w:after="80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should:</w:t>
      </w:r>
    </w:p>
    <w:p w14:paraId="6CCE3C39" w14:textId="77777777" w:rsidR="007F6113" w:rsidRDefault="001A2B7A">
      <w:pPr>
        <w:spacing w:after="60"/>
        <w:ind w:left="630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discuss inherent risks or safety challenges of a given flight test with the applicant, address applicant concerns, and</w:t>
      </w:r>
    </w:p>
    <w:p w14:paraId="3EE95556" w14:textId="77777777" w:rsidR="007F6113" w:rsidRDefault="001A2B7A">
      <w:pPr>
        <w:spacing w:after="60"/>
        <w:ind w:left="63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consider an applicant’s attention span, workload, and fatigue, and tailor testing scenarios accordingly.</w:t>
      </w:r>
    </w:p>
    <w:p w14:paraId="187B9D2F" w14:textId="77777777" w:rsidR="007F6113" w:rsidRDefault="007F6113">
      <w:pPr>
        <w:spacing w:after="80"/>
        <w:ind w:left="630" w:hanging="270"/>
        <w:rPr>
          <w:rFonts w:ascii="Arial" w:eastAsia="Arial" w:hAnsi="Arial" w:cs="Arial"/>
          <w:b/>
          <w:sz w:val="12"/>
          <w:szCs w:val="12"/>
        </w:rPr>
      </w:pPr>
    </w:p>
    <w:p w14:paraId="5949DEDA" w14:textId="77777777" w:rsidR="007F6113" w:rsidRDefault="001A2B7A">
      <w:pP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>III. DPE Training and Proficiency</w:t>
      </w:r>
    </w:p>
    <w:p w14:paraId="01F735AE" w14:textId="77777777" w:rsidR="007F6113" w:rsidRDefault="001A2B7A">
      <w:pPr>
        <w:spacing w:after="80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should:</w:t>
      </w:r>
    </w:p>
    <w:p w14:paraId="03D2F795" w14:textId="77777777" w:rsidR="007F6113" w:rsidRDefault="001A2B7A">
      <w:pPr>
        <w:spacing w:after="60"/>
        <w:ind w:left="630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take </w:t>
      </w:r>
      <w:r>
        <w:rPr>
          <w:rFonts w:ascii="Arial" w:eastAsia="Arial" w:hAnsi="Arial" w:cs="Arial"/>
          <w:b/>
          <w:color w:val="000000"/>
          <w:sz w:val="18"/>
          <w:szCs w:val="18"/>
        </w:rPr>
        <w:t>regular recurrent training to maintain and improve proficiency beyond legal requirements, and</w:t>
      </w:r>
    </w:p>
    <w:p w14:paraId="4F70B86B" w14:textId="77777777" w:rsidR="007F6113" w:rsidRDefault="001A2B7A">
      <w:pPr>
        <w:spacing w:after="60"/>
        <w:ind w:left="630" w:hanging="270"/>
        <w:rPr>
          <w:rFonts w:ascii="Arial" w:eastAsia="Arial" w:hAnsi="Arial" w:cs="Arial"/>
          <w:b/>
          <w:smallCaps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participate in flight safety education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14:paraId="325FAE90" w14:textId="77777777" w:rsidR="007F6113" w:rsidRDefault="007F6113">
      <w:pPr>
        <w:spacing w:after="80"/>
        <w:ind w:left="630" w:hanging="270"/>
        <w:rPr>
          <w:rFonts w:ascii="Arial" w:eastAsia="Arial" w:hAnsi="Arial" w:cs="Arial"/>
          <w:b/>
          <w:smallCaps/>
          <w:sz w:val="13"/>
          <w:szCs w:val="13"/>
        </w:rPr>
      </w:pPr>
    </w:p>
    <w:p w14:paraId="1BB8A2BB" w14:textId="77777777" w:rsidR="007F6113" w:rsidRDefault="001A2B7A">
      <w:pP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>IV. Security </w:t>
      </w:r>
    </w:p>
    <w:p w14:paraId="1547A04D" w14:textId="77777777" w:rsidR="007F6113" w:rsidRDefault="001A2B7A">
      <w:pPr>
        <w:spacing w:after="80"/>
        <w:ind w:left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should:</w:t>
      </w:r>
    </w:p>
    <w:p w14:paraId="77DD5E92" w14:textId="77777777" w:rsidR="007F6113" w:rsidRDefault="001A2B7A">
      <w:pPr>
        <w:numPr>
          <w:ilvl w:val="0"/>
          <w:numId w:val="11"/>
        </w:numPr>
        <w:spacing w:after="60"/>
        <w:ind w:left="63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become familiar with the latest security regulations, and</w:t>
      </w:r>
    </w:p>
    <w:p w14:paraId="0281F483" w14:textId="77777777" w:rsidR="007F6113" w:rsidRDefault="001A2B7A">
      <w:pPr>
        <w:spacing w:after="60"/>
        <w:ind w:left="63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avoid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special-use airspace except when approved or necessary in an emergency.</w:t>
      </w:r>
    </w:p>
    <w:p w14:paraId="61D2A090" w14:textId="5A5F77DD" w:rsidR="007F6113" w:rsidRDefault="001A2B7A">
      <w:pPr>
        <w:keepNext/>
        <w:keepLines/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>V. Environmental Issues</w:t>
      </w:r>
    </w:p>
    <w:p w14:paraId="6866AE98" w14:textId="77777777" w:rsidR="007F6113" w:rsidRDefault="001A2B7A">
      <w:pPr>
        <w:spacing w:after="80"/>
        <w:ind w:left="540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 evaluate an applicant’s:</w:t>
      </w:r>
    </w:p>
    <w:p w14:paraId="4644E7D7" w14:textId="77777777" w:rsidR="007F6113" w:rsidRDefault="001A2B7A">
      <w:pPr>
        <w:spacing w:after="60"/>
        <w:ind w:left="54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efforts to mitigate the environmental impact of pre-flight, in-flight, and post-flight aircraft operations, and</w:t>
      </w:r>
    </w:p>
    <w:p w14:paraId="5C7F0F27" w14:textId="77777777" w:rsidR="007F6113" w:rsidRDefault="001A2B7A">
      <w:pPr>
        <w:spacing w:after="60"/>
        <w:ind w:left="540" w:hanging="18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efforts to respect and protect environmentally sensitive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areas, and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adhere to noise-abatement procedures.</w:t>
      </w:r>
    </w:p>
    <w:p w14:paraId="1175222A" w14:textId="77777777" w:rsidR="007F6113" w:rsidRDefault="007F6113">
      <w:pPr>
        <w:spacing w:after="80"/>
        <w:ind w:left="540" w:hanging="300"/>
        <w:rPr>
          <w:rFonts w:ascii="Times New Roman" w:eastAsia="Times New Roman" w:hAnsi="Times New Roman" w:cs="Times New Roman"/>
          <w:sz w:val="11"/>
          <w:szCs w:val="11"/>
        </w:rPr>
      </w:pPr>
    </w:p>
    <w:p w14:paraId="55AC5450" w14:textId="77777777" w:rsidR="007F6113" w:rsidRDefault="001A2B7A">
      <w:pP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>VI. Use of Technology</w:t>
      </w:r>
    </w:p>
    <w:p w14:paraId="4F2B5D99" w14:textId="77777777" w:rsidR="007F6113" w:rsidRDefault="001A2B7A">
      <w:pPr>
        <w:spacing w:after="8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should:</w:t>
      </w:r>
    </w:p>
    <w:p w14:paraId="4DB29CEF" w14:textId="77777777" w:rsidR="007F6113" w:rsidRDefault="001A2B7A">
      <w:pPr>
        <w:spacing w:after="60"/>
        <w:ind w:left="720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understand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the operation, features, and limitations of aviation technologies in test aircraft sufficiently to 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) act as safety pilot if required, and (ii) effectively evaluate an applicant’s use of the technology, and</w:t>
      </w:r>
    </w:p>
    <w:p w14:paraId="583B5B4F" w14:textId="77777777" w:rsidR="007F6113" w:rsidRDefault="001A2B7A">
      <w:pPr>
        <w:numPr>
          <w:ilvl w:val="0"/>
          <w:numId w:val="12"/>
        </w:numPr>
        <w:spacing w:after="60"/>
        <w:ind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be familiar with the manufacturers’ recommendations for simulating in-flight failures of avionics, tablets and other portable electronic devices.</w:t>
      </w:r>
      <w:r>
        <w:rPr>
          <w:rFonts w:ascii="Arial" w:eastAsia="Arial" w:hAnsi="Arial" w:cs="Arial"/>
          <w:b/>
          <w:color w:val="000000"/>
          <w:sz w:val="15"/>
          <w:szCs w:val="15"/>
          <w:highlight w:val="black"/>
        </w:rPr>
        <w:br/>
      </w:r>
    </w:p>
    <w:p w14:paraId="782AC169" w14:textId="77777777" w:rsidR="007F6113" w:rsidRDefault="001A2B7A">
      <w:pP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VII. </w:t>
      </w:r>
      <w:r>
        <w:rPr>
          <w:rFonts w:ascii="Arial" w:eastAsia="Arial" w:hAnsi="Arial" w:cs="Arial"/>
          <w:b/>
          <w:smallCaps/>
          <w:color w:val="000000"/>
          <w:sz w:val="21"/>
          <w:szCs w:val="21"/>
        </w:rPr>
        <w:t>DPE Professionalism and Safety Culture</w:t>
      </w:r>
    </w:p>
    <w:p w14:paraId="1B4ABF93" w14:textId="77777777" w:rsidR="007F6113" w:rsidRDefault="001A2B7A">
      <w:pPr>
        <w:spacing w:after="80"/>
        <w:ind w:left="450" w:hanging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Designated Pilot Examiners should:</w:t>
      </w:r>
    </w:p>
    <w:p w14:paraId="1DA42992" w14:textId="77777777" w:rsidR="007F6113" w:rsidRDefault="001A2B7A">
      <w:pPr>
        <w:spacing w:after="60"/>
        <w:ind w:left="720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a. advance a DPE safety culture that values openness, humility, integrity, positive attitudes, and the pursuit of personal improvement,</w:t>
      </w:r>
    </w:p>
    <w:p w14:paraId="3DDB7E3C" w14:textId="77777777" w:rsidR="007F6113" w:rsidRDefault="001A2B7A">
      <w:pPr>
        <w:spacing w:after="60"/>
        <w:ind w:left="720" w:hanging="27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foster professionalism by example, and </w:t>
      </w:r>
    </w:p>
    <w:p w14:paraId="2886A67B" w14:textId="77777777" w:rsidR="007F6113" w:rsidRDefault="001A2B7A">
      <w:pPr>
        <w:spacing w:after="60"/>
        <w:ind w:left="720" w:hanging="270"/>
        <w:rPr>
          <w:rFonts w:ascii="Arial" w:eastAsia="Arial" w:hAnsi="Arial" w:cs="Arial"/>
          <w:b/>
          <w:color w:val="1A73E8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c.</w:t>
      </w:r>
      <w:r>
        <w:rPr>
          <w:rFonts w:ascii="Arial" w:eastAsia="Arial" w:hAnsi="Arial" w:cs="Arial"/>
          <w:b/>
          <w:sz w:val="18"/>
          <w:szCs w:val="18"/>
        </w:rPr>
        <w:tab/>
        <w:t>promote safety education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0AD78A0" w14:textId="4B3CD143" w:rsidR="007F6113" w:rsidRDefault="007F6113">
      <w:pPr>
        <w:spacing w:after="60"/>
        <w:ind w:left="720" w:hanging="270"/>
        <w:rPr>
          <w:rFonts w:ascii="Times New Roman" w:eastAsia="Times New Roman" w:hAnsi="Times New Roman" w:cs="Times New Roman"/>
          <w:sz w:val="13"/>
          <w:szCs w:val="13"/>
        </w:rPr>
      </w:pPr>
    </w:p>
    <w:p w14:paraId="29F977F4" w14:textId="77777777" w:rsidR="007F6113" w:rsidRDefault="001A2B7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Notice</w:t>
      </w:r>
    </w:p>
    <w:p w14:paraId="627B9FB5" w14:textId="77777777" w:rsidR="007F6113" w:rsidRDefault="001A2B7A" w:rsidP="00140DDE">
      <w:pPr>
        <w:spacing w:after="120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The DPE Model Code of Conduct  © Aviators Code Initiative (ACI). All Rights Reserved. Terms of Use: </w:t>
      </w:r>
      <w:hyperlink r:id="rId9">
        <w:r>
          <w:rPr>
            <w:rFonts w:ascii="Arial" w:eastAsia="Arial" w:hAnsi="Arial" w:cs="Arial"/>
            <w:i/>
            <w:color w:val="1155CC"/>
            <w:sz w:val="16"/>
            <w:szCs w:val="16"/>
            <w:u w:val="single"/>
          </w:rPr>
          <w:t>secureav.com/terms.pdf</w:t>
        </w:r>
      </w:hyperlink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abbreviated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and full versions of the DPEMCC are available at: </w:t>
      </w:r>
      <w:hyperlink r:id="rId10">
        <w:r>
          <w:rPr>
            <w:rFonts w:ascii="Arial" w:eastAsia="Arial" w:hAnsi="Arial" w:cs="Arial"/>
            <w:i/>
            <w:color w:val="1155CC"/>
            <w:sz w:val="16"/>
            <w:szCs w:val="16"/>
            <w:u w:val="single"/>
          </w:rPr>
          <w:t>secureav.com/DPE-Listings-Page.html</w:t>
        </w:r>
      </w:hyperlink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The DPEMCC does not purport to address every safety concern. It is the responsibility of the user to establish appropriate safety practices and </w:t>
      </w:r>
      <w:r>
        <w:rPr>
          <w:rFonts w:ascii="Arial" w:eastAsia="Arial" w:hAnsi="Arial" w:cs="Arial"/>
          <w:i/>
          <w:sz w:val="16"/>
          <w:szCs w:val="16"/>
        </w:rPr>
        <w:t>comply with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regulatory limitations. It is not intended to provide legal advice and must not be relied upon as such.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</w:p>
    <w:p w14:paraId="41BF3EEB" w14:textId="57334FDA" w:rsidR="00485BDA" w:rsidRDefault="001A2B7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Acknowledgments: Various subject matter experts have provided input for the UASPC. We gratefully acknowledge their editorial assistance. See </w:t>
      </w:r>
      <w:hyperlink r:id="rId11">
        <w:r>
          <w:rPr>
            <w:rFonts w:ascii="Arial" w:eastAsia="Arial" w:hAnsi="Arial" w:cs="Arial"/>
            <w:i/>
            <w:color w:val="1155CC"/>
            <w:sz w:val="16"/>
            <w:szCs w:val="16"/>
            <w:u w:val="single"/>
          </w:rPr>
          <w:t>secureav.com/ack.pdf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FC546E0" w14:textId="77777777" w:rsidR="00485BDA" w:rsidRDefault="00485BD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5A1DB4" w14:textId="3F5BBDA8" w:rsidR="00E1125C" w:rsidRDefault="00E1125C">
      <w:pPr>
        <w:rPr>
          <w:rFonts w:ascii="Times New Roman" w:eastAsia="Times New Roman" w:hAnsi="Times New Roman" w:cs="Times New Roman"/>
          <w:sz w:val="6"/>
          <w:szCs w:val="6"/>
        </w:rPr>
        <w:sectPr w:rsidR="00E1125C">
          <w:type w:val="continuous"/>
          <w:pgSz w:w="12240" w:h="15840"/>
          <w:pgMar w:top="720" w:right="720" w:bottom="54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6A2DE28C" w14:textId="77777777" w:rsidR="007F6113" w:rsidRDefault="007F6113" w:rsidP="00E1125C"/>
    <w:sectPr w:rsidR="007F6113" w:rsidSect="007836F4"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31FC9" w14:textId="77777777" w:rsidR="00527B16" w:rsidRDefault="00527B16">
      <w:r>
        <w:separator/>
      </w:r>
    </w:p>
  </w:endnote>
  <w:endnote w:type="continuationSeparator" w:id="0">
    <w:p w14:paraId="5E556FBA" w14:textId="77777777" w:rsidR="00527B16" w:rsidRDefault="0052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659F3" w14:textId="77777777" w:rsidR="007F6113" w:rsidRDefault="007F6113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79D3" w14:textId="77777777" w:rsidR="007F6113" w:rsidRDefault="001A2B7A">
    <w:pPr>
      <w:jc w:val="right"/>
    </w:pPr>
    <w:r>
      <w:fldChar w:fldCharType="begin"/>
    </w:r>
    <w:r>
      <w:instrText>PAGE</w:instrText>
    </w:r>
    <w:r>
      <w:fldChar w:fldCharType="separate"/>
    </w:r>
    <w:r w:rsidR="00E71BE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D224" w14:textId="29923F5C" w:rsidR="007F6113" w:rsidRDefault="001A2B7A">
    <w:pPr>
      <w:jc w:val="right"/>
    </w:pPr>
    <w:r>
      <w:fldChar w:fldCharType="begin"/>
    </w:r>
    <w:r>
      <w:instrText>PAGE</w:instrText>
    </w:r>
    <w:r>
      <w:fldChar w:fldCharType="separate"/>
    </w:r>
    <w:r w:rsidR="00140D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B557C" w14:textId="77777777" w:rsidR="00527B16" w:rsidRDefault="00527B16">
      <w:r>
        <w:separator/>
      </w:r>
    </w:p>
  </w:footnote>
  <w:footnote w:type="continuationSeparator" w:id="0">
    <w:p w14:paraId="48C68B35" w14:textId="77777777" w:rsidR="00527B16" w:rsidRDefault="0052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A75"/>
    <w:multiLevelType w:val="multilevel"/>
    <w:tmpl w:val="13423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84F76"/>
    <w:multiLevelType w:val="multilevel"/>
    <w:tmpl w:val="3296118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7755A3"/>
    <w:multiLevelType w:val="multilevel"/>
    <w:tmpl w:val="0B809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5C0345"/>
    <w:multiLevelType w:val="multilevel"/>
    <w:tmpl w:val="336AF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887B05"/>
    <w:multiLevelType w:val="multilevel"/>
    <w:tmpl w:val="933CF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085738"/>
    <w:multiLevelType w:val="multilevel"/>
    <w:tmpl w:val="76DAE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610FE3"/>
    <w:multiLevelType w:val="multilevel"/>
    <w:tmpl w:val="68585278"/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2C7D7C64"/>
    <w:multiLevelType w:val="multilevel"/>
    <w:tmpl w:val="B808B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457195"/>
    <w:multiLevelType w:val="multilevel"/>
    <w:tmpl w:val="7088A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68564D"/>
    <w:multiLevelType w:val="multilevel"/>
    <w:tmpl w:val="466CF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F367B5"/>
    <w:multiLevelType w:val="multilevel"/>
    <w:tmpl w:val="B6AEC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A95984"/>
    <w:multiLevelType w:val="multilevel"/>
    <w:tmpl w:val="CDFCD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395E46"/>
    <w:multiLevelType w:val="multilevel"/>
    <w:tmpl w:val="F904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AD15A0"/>
    <w:multiLevelType w:val="multilevel"/>
    <w:tmpl w:val="A3627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525F1A"/>
    <w:multiLevelType w:val="multilevel"/>
    <w:tmpl w:val="82AED1F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FD2577C"/>
    <w:multiLevelType w:val="multilevel"/>
    <w:tmpl w:val="DDD60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994689"/>
    <w:multiLevelType w:val="multilevel"/>
    <w:tmpl w:val="6E80A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1A1066"/>
    <w:multiLevelType w:val="multilevel"/>
    <w:tmpl w:val="89C6F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E303C0"/>
    <w:multiLevelType w:val="multilevel"/>
    <w:tmpl w:val="0F7A1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4646AA"/>
    <w:multiLevelType w:val="multilevel"/>
    <w:tmpl w:val="341C710C"/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7B9013BA"/>
    <w:multiLevelType w:val="multilevel"/>
    <w:tmpl w:val="159EAFB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20"/>
  </w:num>
  <w:num w:numId="13">
    <w:abstractNumId w:val="9"/>
  </w:num>
  <w:num w:numId="14">
    <w:abstractNumId w:val="13"/>
  </w:num>
  <w:num w:numId="15">
    <w:abstractNumId w:val="8"/>
  </w:num>
  <w:num w:numId="16">
    <w:abstractNumId w:val="7"/>
  </w:num>
  <w:num w:numId="17">
    <w:abstractNumId w:val="16"/>
  </w:num>
  <w:num w:numId="18">
    <w:abstractNumId w:val="4"/>
  </w:num>
  <w:num w:numId="19">
    <w:abstractNumId w:val="19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13"/>
    <w:rsid w:val="00087D09"/>
    <w:rsid w:val="00140DDE"/>
    <w:rsid w:val="001A2B7A"/>
    <w:rsid w:val="00485BDA"/>
    <w:rsid w:val="00527B16"/>
    <w:rsid w:val="005F7638"/>
    <w:rsid w:val="00707410"/>
    <w:rsid w:val="00751F00"/>
    <w:rsid w:val="007836F4"/>
    <w:rsid w:val="007F6113"/>
    <w:rsid w:val="00D866AF"/>
    <w:rsid w:val="00E1125C"/>
    <w:rsid w:val="00E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E5AC5"/>
  <w15:docId w15:val="{D2522B4B-52BF-E547-A940-0F63F72B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3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6F4"/>
  </w:style>
  <w:style w:type="paragraph" w:styleId="Footer">
    <w:name w:val="footer"/>
    <w:basedOn w:val="Normal"/>
    <w:link w:val="FooterChar"/>
    <w:uiPriority w:val="99"/>
    <w:unhideWhenUsed/>
    <w:rsid w:val="00783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cureav.com/ac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cureav.com/DPE-Listings-P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av.com/term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2916</Characters>
  <Application>Microsoft Office Word</Application>
  <DocSecurity>0</DocSecurity>
  <Lines>47</Lines>
  <Paragraphs>19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</cp:lastModifiedBy>
  <cp:revision>2</cp:revision>
  <dcterms:created xsi:type="dcterms:W3CDTF">2021-02-08T19:14:00Z</dcterms:created>
  <dcterms:modified xsi:type="dcterms:W3CDTF">2021-02-08T19:14:00Z</dcterms:modified>
</cp:coreProperties>
</file>